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1BA6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Toc3067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附件4：</w:t>
      </w:r>
    </w:p>
    <w:p w14:paraId="3EBEADFF">
      <w:pPr>
        <w:ind w:firstLine="3313" w:firstLineChars="11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                 编号：1175260608001</w:t>
      </w:r>
    </w:p>
    <w:p w14:paraId="5E1FB4E7">
      <w:pPr>
        <w:ind w:firstLine="2891" w:firstLineChars="600"/>
        <w:rPr>
          <w:rFonts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  <w:t>询价函</w:t>
      </w:r>
    </w:p>
    <w:p w14:paraId="2321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</w:rPr>
      </w:pPr>
    </w:p>
    <w:p w14:paraId="08D3D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贵公司</w:t>
      </w:r>
    </w:p>
    <w:p w14:paraId="5D47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我公司“山东济钢环保新材料有限公司”现需要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符合国家职业病法律法规、具有相应</w:t>
      </w:r>
      <w:r>
        <w:rPr>
          <w:rFonts w:hint="eastAsia" w:ascii="Arial" w:hAnsi="Arial" w:eastAsia="仿宋_GB2312" w:cs="Arial"/>
          <w:b w:val="0"/>
          <w:color w:val="000000"/>
          <w:kern w:val="0"/>
          <w:sz w:val="32"/>
          <w:szCs w:val="32"/>
          <w:lang w:val="en-US" w:eastAsia="zh-CN" w:bidi="ar-SA"/>
        </w:rPr>
        <w:t>职业卫生技术评价检测服务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资质的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评价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。需求地点：“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山东省济南市章丘区官庄街道青野村东”，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请及时给予回复</w:t>
      </w:r>
      <w:r>
        <w:rPr>
          <w:rFonts w:ascii="仿宋_GB2312" w:hAnsi="Calibri" w:eastAsia="仿宋_GB2312" w:cs="Times New Roman"/>
          <w:b w:val="0"/>
          <w:bCs/>
          <w:sz w:val="32"/>
          <w:szCs w:val="32"/>
        </w:rPr>
        <w:t>!</w:t>
      </w:r>
    </w:p>
    <w:p w14:paraId="7C962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结算及支付方式: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两个评价（含检测）项目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完毕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，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出具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评价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报告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全额增值税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专用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发票后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30天内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现汇支付。</w:t>
      </w:r>
    </w:p>
    <w:p w14:paraId="16E4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需方业务联系人：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王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工，电话：13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964148614</w:t>
      </w:r>
    </w:p>
    <w:p w14:paraId="36EA72CB">
      <w:pPr>
        <w:spacing w:line="340" w:lineRule="exact"/>
        <w:jc w:val="center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报价单</w:t>
      </w:r>
    </w:p>
    <w:tbl>
      <w:tblPr>
        <w:tblStyle w:val="20"/>
        <w:tblpPr w:leftFromText="180" w:rightFromText="180" w:vertAnchor="text" w:horzAnchor="page" w:tblpX="2042" w:tblpY="110"/>
        <w:tblOverlap w:val="never"/>
        <w:tblW w:w="469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275"/>
        <w:gridCol w:w="1967"/>
        <w:gridCol w:w="2021"/>
      </w:tblGrid>
      <w:tr w14:paraId="77C42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A2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7FE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服务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D00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区域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C5A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</w:tr>
      <w:tr w14:paraId="643BD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4D2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5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职业病危害现状评价</w:t>
            </w:r>
          </w:p>
        </w:tc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西矿区及加工区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存在职业病危害场所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9A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6116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8E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3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工作场所职业病危害检测</w:t>
            </w:r>
          </w:p>
        </w:tc>
        <w:tc>
          <w:tcPr>
            <w:tcW w:w="118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1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B0D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35EB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D61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5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建设项目职业病危害控制效果评价</w:t>
            </w:r>
          </w:p>
        </w:tc>
        <w:tc>
          <w:tcPr>
            <w:tcW w:w="118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二期项目东矿区、加工区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297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1B28F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B1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3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建设项目职业病危害控制效果评价专家费</w:t>
            </w:r>
          </w:p>
        </w:tc>
        <w:tc>
          <w:tcPr>
            <w:tcW w:w="118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9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D51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C6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0F2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合计金额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B69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D443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1AC3"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合计（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大写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税率：</w:t>
            </w:r>
          </w:p>
        </w:tc>
      </w:tr>
    </w:tbl>
    <w:p w14:paraId="2246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公告及报名日期：2026年6月8日-2026年6月13日。评审时间：2026年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日上午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点。请贵单位于202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日上午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点之前将询价函、营业执照、授权委托书等资料上传至报名网站：（http://bidding.jigang.com.cn/）</w:t>
      </w:r>
    </w:p>
    <w:p w14:paraId="11C0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</w:p>
    <w:p w14:paraId="0733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报价单位：                盖章</w:t>
      </w:r>
    </w:p>
    <w:p w14:paraId="4D6D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  </w:t>
      </w:r>
    </w:p>
    <w:p w14:paraId="30BE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联系人：         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   电话：           年  月  日</w:t>
      </w:r>
    </w:p>
    <w:p w14:paraId="5221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</w:p>
    <w:p w14:paraId="229E3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</w:p>
    <w:p w14:paraId="61320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附件：</w:t>
      </w:r>
    </w:p>
    <w:p w14:paraId="195D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hint="default" w:ascii="黑体" w:hAnsi="黑体" w:eastAsia="黑体" w:cs="黑体"/>
          <w:b/>
          <w:bCs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企业基本情况简介</w:t>
      </w:r>
    </w:p>
    <w:p w14:paraId="45232337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0"/>
          <w:lang w:val="en-US" w:eastAsia="zh-CN"/>
        </w:rPr>
      </w:pPr>
    </w:p>
    <w:p w14:paraId="464CFE3B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山东济钢环保新材料有限公司成立于2018年1月，是济钢集团全资子公司。矿区位于章丘区城区东南约17公里处，行政区划属章丘区官庄街道办事处，经营范围包括矿山开采、绿色新型建材和高附加值钙质产品生产、研发、销售于一体的企业。公司下属2座露天矿山距离304m，共用一套生产加工系统，其中西矿区矿区面积0.5229平方公里，生产规模1000万吨/年，开采深度+426-+265m,终了边坡最大高度161m，2021年1月取得安全生产许可证，当前终了边坡高度86m，正常生产;东矿区矿区面积0.6228平方公里，生产规模400万吨/年，开采深度+432-+260m,终了边坡最大高度141m，2026年5月取得安全生产许可证，当前正在进行试生产。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val="en-US" w:eastAsia="zh-CN"/>
        </w:rPr>
        <w:t>东矿区和西矿区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  <w:t>为该公司的原料矿山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/>
        </w:rPr>
        <w:t>两座矿山均采用自上而下水平分台阶开采方式，公路开拓汽车运输方案，采用爆破和机械开采两种工艺。</w:t>
      </w:r>
    </w:p>
    <w:p w14:paraId="4D553B61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西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矿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区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  <w:t>采用自上而下、水平分台阶的露天采矿方法，为了保护1#、2#破碎站，采场划分为爆破开采区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highlight w:val="yellow"/>
          <w:lang w:val="en-US" w:eastAsia="zh-CN"/>
        </w:rPr>
        <w:t>爆破作业属于外包不参加本次评价检测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  <w:t>和机械开采区，划分原则为以1#、2#破碎站为保护对象，以卸矿平台南侧边缘为界向采场方向反推300m作为机械开采区，300m外为爆破开采区。机械开采区工艺流程为机械破碎→铲装→运输；爆破开采区工艺流程为穿孔→爆破→铲装→运输，二次破碎用液压碎石锤。</w:t>
      </w:r>
    </w:p>
    <w:p w14:paraId="0E91F2A7">
      <w:pPr>
        <w:pStyle w:val="19"/>
        <w:tabs>
          <w:tab w:val="left" w:pos="420"/>
        </w:tabs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cs="宋体" w:eastAsiaTheme="minorEastAsia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工艺流程：开拓运输道路→开挖水平台阶→穿孔→爆破→二次破碎→挖掘机装载→汽车运输→破碎→外运。</w:t>
      </w:r>
    </w:p>
    <w:p w14:paraId="1AAF676E">
      <w:pPr>
        <w:pStyle w:val="19"/>
        <w:tabs>
          <w:tab w:val="left" w:pos="420"/>
        </w:tabs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cs="宋体" w:eastAsiaTheme="minorEastAsia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石灰石破碎、筛分、带式输送机输送转运点、成品储存点、成品装车处均设置气箱脉冲袋式收尘器，以确保生产岗位的清洁卫生，含尘气体经处理后达标排放。</w:t>
      </w:r>
    </w:p>
    <w:p w14:paraId="1D1F0A02">
      <w:pPr>
        <w:pStyle w:val="19"/>
        <w:tabs>
          <w:tab w:val="left" w:pos="420"/>
        </w:tabs>
        <w:adjustRightInd w:val="0"/>
        <w:snapToGrid w:val="0"/>
        <w:spacing w:after="0" w:line="360" w:lineRule="auto"/>
        <w:ind w:firstLine="0" w:firstLineChars="0"/>
        <w:jc w:val="center"/>
        <w:rPr>
          <w:rFonts w:hint="eastAsia" w:hAnsi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hAnsi="宋体" w:cs="宋体"/>
          <w:snapToGrid w:val="0"/>
          <w:color w:val="000000"/>
          <w:kern w:val="0"/>
          <w:sz w:val="28"/>
          <w:szCs w:val="28"/>
        </w:rPr>
        <w:t>生产工艺流程图</w:t>
      </w:r>
    </w:p>
    <w:p w14:paraId="39000E87">
      <w:pPr>
        <w:pStyle w:val="37"/>
        <w:spacing w:line="360" w:lineRule="auto"/>
        <w:ind w:firstLine="48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265430</wp:posOffset>
            </wp:positionV>
            <wp:extent cx="5450205" cy="3037840"/>
            <wp:effectExtent l="0" t="0" r="0" b="10160"/>
            <wp:wrapTight wrapText="bothSides">
              <wp:wrapPolygon>
                <wp:start x="0" y="0"/>
                <wp:lineTo x="0" y="21456"/>
                <wp:lineTo x="21562" y="21456"/>
                <wp:lineTo x="21562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8456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东矿区：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采用露天开采方式，公路开拓汽车运输方案，自上而下水平分台阶开采。设计台阶高度为15m。矿山共分10个开采水平，自上而下分别为+395m、+380m、+365m、+350m、+335m、+320m、+305m、+290m、+275m及+260m水平，在矿区西侧以“直进式”布线布置运输道路主干线，用于连接外部公路与采场。</w:t>
      </w:r>
    </w:p>
    <w:p w14:paraId="01197B34">
      <w:pPr>
        <w:pStyle w:val="37"/>
        <w:spacing w:line="360" w:lineRule="auto"/>
        <w:ind w:firstLine="48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爆破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highlight w:val="yellow"/>
          <w:lang w:val="en-US" w:eastAsia="zh-CN"/>
        </w:rPr>
        <w:t>爆破作业属于外包不参加本次评价检测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开采工艺为：包括穿孔—爆破—铲装—运输四个主要环节，采用潜孔钻机穿凿深孔，毫秒延时爆破，单斗液压挖掘机装车，矿用自卸汽车将矿石自工作面运至西矿区破碎站卸料口。</w:t>
      </w:r>
    </w:p>
    <w:p w14:paraId="74F4AE12">
      <w:pPr>
        <w:pStyle w:val="37"/>
        <w:spacing w:line="360" w:lineRule="auto"/>
        <w:ind w:firstLine="48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机械破碎开采工艺为：锤碎—铲装—运输三个主要环节，采用破碎锤破碎矿岩，单斗液压挖掘机装车，矿用自卸汽车将矿石自工作面运至西矿区破碎站卸料口。液压破碎锤作业分台阶高度为7.5m，并段后终了台阶高度15m。</w:t>
      </w:r>
    </w:p>
    <w:p w14:paraId="26BA600A">
      <w:pPr>
        <w:pStyle w:val="37"/>
        <w:spacing w:line="360" w:lineRule="auto"/>
        <w:ind w:firstLine="480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采场设有两座箱式变电所，所内各设SCB18-800/10型变压器一台，为充电桩及其他负荷供电，低压侧采用放射式及树干式配电方式。</w:t>
      </w:r>
    </w:p>
    <w:p w14:paraId="11D55107">
      <w:pPr>
        <w:adjustRightInd w:val="0"/>
        <w:snapToGrid w:val="0"/>
        <w:spacing w:line="360" w:lineRule="auto"/>
        <w:ind w:firstLine="562" w:firstLineChars="200"/>
        <w:rPr>
          <w:rFonts w:hint="default" w:ascii="宋体" w:hAnsi="宋体" w:eastAsia="宋体" w:cs="宋体"/>
          <w:bCs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>二期项目加工区:</w:t>
      </w:r>
      <w:r>
        <w:rPr>
          <w:rFonts w:hint="eastAsia" w:ascii="宋体" w:hAnsi="宋体" w:eastAsia="宋体" w:cs="宋体"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>工艺流程图</w:t>
      </w:r>
    </w:p>
    <w:p w14:paraId="68DDD3DB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3695700"/>
            <wp:effectExtent l="0" t="0" r="127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1FE5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bookmarkEnd w:id="0"/>
    <w:p w14:paraId="1E6F6021">
      <w:pPr>
        <w:rPr>
          <w:rFonts w:hint="eastAsia" w:eastAsiaTheme="minorEastAsia"/>
          <w:lang w:eastAsia="zh-CN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jliY2VhZTRhYmZmZTg3NjAzODU0M2ExYWM5NWMifQ=="/>
  </w:docVars>
  <w:rsids>
    <w:rsidRoot w:val="00000000"/>
    <w:rsid w:val="0B027113"/>
    <w:rsid w:val="0B705E4C"/>
    <w:rsid w:val="107C24AC"/>
    <w:rsid w:val="153372AD"/>
    <w:rsid w:val="16303B33"/>
    <w:rsid w:val="1868715E"/>
    <w:rsid w:val="2A236FB6"/>
    <w:rsid w:val="2C0B6632"/>
    <w:rsid w:val="2D8D7483"/>
    <w:rsid w:val="2F496DE0"/>
    <w:rsid w:val="36E679CF"/>
    <w:rsid w:val="55BB1418"/>
    <w:rsid w:val="5D2245E5"/>
    <w:rsid w:val="61395C0E"/>
    <w:rsid w:val="6AB50426"/>
    <w:rsid w:val="7A095B5E"/>
    <w:rsid w:val="7B081F2B"/>
    <w:rsid w:val="7BFB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8">
    <w:name w:val="heading 3"/>
    <w:basedOn w:val="1"/>
    <w:next w:val="1"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9">
    <w:name w:val="heading 4"/>
    <w:basedOn w:val="1"/>
    <w:next w:val="1"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420" w:firstLineChars="200"/>
    </w:pPr>
    <w:rPr>
      <w:sz w:val="28"/>
    </w:rPr>
  </w:style>
  <w:style w:type="paragraph" w:styleId="3">
    <w:name w:val="Body Text First Indent 2"/>
    <w:basedOn w:val="4"/>
    <w:next w:val="6"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5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6">
    <w:name w:val="List"/>
    <w:basedOn w:val="1"/>
    <w:qFormat/>
    <w:uiPriority w:val="0"/>
    <w:pPr>
      <w:autoSpaceDE w:val="0"/>
      <w:autoSpaceDN w:val="0"/>
      <w:adjustRightInd w:val="0"/>
      <w:jc w:val="center"/>
      <w:textAlignment w:val="center"/>
    </w:pPr>
    <w:rPr>
      <w:rFonts w:eastAsia="仿宋_GB2312"/>
      <w:snapToGrid w:val="0"/>
      <w:color w:val="000000"/>
      <w:kern w:val="21"/>
      <w:lang w:val="zh-CN"/>
    </w:rPr>
  </w:style>
  <w:style w:type="paragraph" w:styleId="10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11">
    <w:name w:val="annotation text"/>
    <w:basedOn w:val="1"/>
    <w:link w:val="24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paragraph" w:styleId="12">
    <w:name w:val="Body Text"/>
    <w:basedOn w:val="1"/>
    <w:next w:val="2"/>
    <w:qFormat/>
    <w:uiPriority w:val="0"/>
    <w:pPr>
      <w:jc w:val="center"/>
    </w:pPr>
    <w:rPr>
      <w:rFonts w:ascii="楷体_GB2312" w:hAnsi="Calibri" w:eastAsia="楷体_GB2312" w:cs="Times New Roman"/>
      <w:b/>
      <w:bCs/>
      <w:sz w:val="24"/>
      <w:szCs w:val="22"/>
    </w:rPr>
  </w:style>
  <w:style w:type="paragraph" w:styleId="13">
    <w:name w:val="toc 5"/>
    <w:basedOn w:val="1"/>
    <w:next w:val="1"/>
    <w:qFormat/>
    <w:uiPriority w:val="0"/>
    <w:pPr>
      <w:ind w:left="840"/>
    </w:pPr>
    <w:rPr>
      <w:rFonts w:ascii="Calibri" w:hAnsi="Calibri"/>
      <w:sz w:val="20"/>
      <w:szCs w:val="20"/>
    </w:rPr>
  </w:style>
  <w:style w:type="paragraph" w:styleId="14">
    <w:name w:val="Plain Text"/>
    <w:basedOn w:val="1"/>
    <w:qFormat/>
    <w:uiPriority w:val="0"/>
    <w:rPr>
      <w:rFonts w:ascii="宋体"/>
      <w:szCs w:val="20"/>
    </w:rPr>
  </w:style>
  <w:style w:type="paragraph" w:styleId="1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/>
    </w:rPr>
  </w:style>
  <w:style w:type="paragraph" w:styleId="17">
    <w:name w:val="toc 2"/>
    <w:basedOn w:val="1"/>
    <w:next w:val="1"/>
    <w:qFormat/>
    <w:uiPriority w:val="39"/>
    <w:pPr>
      <w:spacing w:before="120"/>
      <w:ind w:left="210"/>
    </w:pPr>
    <w:rPr>
      <w:rFonts w:ascii="Calibri" w:hAnsi="Calibri" w:eastAsia="宋体" w:cs="Times New Roman"/>
      <w:i/>
      <w:iCs/>
      <w:sz w:val="20"/>
      <w:szCs w:val="20"/>
    </w:rPr>
  </w:style>
  <w:style w:type="paragraph" w:styleId="18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lang w:bidi="ar-SA"/>
    </w:rPr>
  </w:style>
  <w:style w:type="paragraph" w:styleId="19">
    <w:name w:val="Body Text First Indent"/>
    <w:basedOn w:val="12"/>
    <w:qFormat/>
    <w:uiPriority w:val="0"/>
    <w:pPr>
      <w:spacing w:after="120"/>
      <w:ind w:firstLine="420" w:firstLineChars="100"/>
    </w:pPr>
    <w:rPr>
      <w:sz w:val="21"/>
      <w:szCs w:val="24"/>
    </w:r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qFormat/>
    <w:uiPriority w:val="22"/>
    <w:rPr>
      <w:rFonts w:ascii="Cambria" w:hAnsi="Cambria" w:eastAsia="宋体" w:cs="Times New Roman"/>
      <w:b/>
      <w:bCs/>
    </w:rPr>
  </w:style>
  <w:style w:type="character" w:customStyle="1" w:styleId="24">
    <w:name w:val="批注文字 Char"/>
    <w:link w:val="11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character" w:customStyle="1" w:styleId="25">
    <w:name w:val="页脚 Char"/>
    <w:basedOn w:val="22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val="zh-CN"/>
    </w:rPr>
  </w:style>
  <w:style w:type="character" w:customStyle="1" w:styleId="27">
    <w:name w:val="页眉 字符"/>
    <w:basedOn w:val="22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8">
    <w:name w:val="NormalCharacter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批注文字 字符"/>
    <w:basedOn w:val="2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公司标题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44"/>
    </w:rPr>
  </w:style>
  <w:style w:type="paragraph" w:customStyle="1" w:styleId="3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2">
    <w:name w:val="样式2"/>
    <w:basedOn w:val="1"/>
    <w:qFormat/>
    <w:uiPriority w:val="0"/>
    <w:pPr>
      <w:spacing w:line="360" w:lineRule="auto"/>
    </w:pPr>
    <w:rPr>
      <w:rFonts w:ascii="华文细黑" w:eastAsia="华文细黑"/>
      <w:b/>
      <w:sz w:val="30"/>
      <w:szCs w:val="20"/>
    </w:rPr>
  </w:style>
  <w:style w:type="paragraph" w:customStyle="1" w:styleId="33">
    <w:name w:val="三级"/>
    <w:basedOn w:val="34"/>
    <w:qFormat/>
    <w:uiPriority w:val="0"/>
    <w:pPr>
      <w:widowControl w:val="0"/>
      <w:tabs>
        <w:tab w:val="left" w:pos="851"/>
      </w:tabs>
      <w:spacing w:after="80" w:line="360" w:lineRule="auto"/>
      <w:ind w:left="851" w:hanging="851"/>
      <w:jc w:val="both"/>
      <w:outlineLvl w:val="3"/>
    </w:pPr>
    <w:rPr>
      <w:rFonts w:cs="Times New Roman"/>
      <w:b w:val="0"/>
      <w:bCs w:val="0"/>
    </w:rPr>
  </w:style>
  <w:style w:type="paragraph" w:customStyle="1" w:styleId="34">
    <w:name w:val="A标题4"/>
    <w:basedOn w:val="9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paragraph" w:customStyle="1" w:styleId="35">
    <w:name w:val="Heading 1"/>
    <w:basedOn w:val="1"/>
    <w:qFormat/>
    <w:uiPriority w:val="1"/>
    <w:pPr>
      <w:spacing w:before="112"/>
      <w:ind w:left="120"/>
      <w:outlineLvl w:val="1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type="paragraph" w:customStyle="1" w:styleId="36">
    <w:name w:val="Table Paragraph"/>
    <w:basedOn w:val="1"/>
    <w:qFormat/>
    <w:uiPriority w:val="1"/>
    <w:pPr>
      <w:ind w:left="107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37">
    <w:name w:val="样式1"/>
    <w:basedOn w:val="1"/>
    <w:qFormat/>
    <w:uiPriority w:val="0"/>
    <w:pPr>
      <w:widowControl/>
      <w:spacing w:line="480" w:lineRule="exact"/>
      <w:ind w:firstLine="560" w:firstLineChars="200"/>
      <w:jc w:val="left"/>
    </w:pPr>
    <w:rPr>
      <w:rFonts w:ascii="Yu Mincho Light"/>
      <w:bCs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7112</Words>
  <Characters>7696</Characters>
  <Lines>0</Lines>
  <Paragraphs>0</Paragraphs>
  <TotalTime>0</TotalTime>
  <ScaleCrop>false</ScaleCrop>
  <LinksUpToDate>false</LinksUpToDate>
  <CharactersWithSpaces>8481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2025-03-28T07:41:00Z</dcterms:created>
  <dc:creator>Administrator</dc:creator>
  <cp:lastModifiedBy>Yuxue</cp:lastModifiedBy>
  <dcterms:modified xsi:type="dcterms:W3CDTF">2026-06-08T06:51:46Z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eyJoZGlkIjoiMjAxNjliY2VhZTRhYmZmZTg3NjAzODU0M2ExYWM5NWMiLCJ1c2VySWQiOiIyNjQ1NzY5ODUifQ==</vt:lpwstr>
  </property>
  <property fmtid="{D5CDD505-2E9C-101B-9397-08002B2CF9AE}" pid="4" name="ICV">
    <vt:lpwstr>367E3F8D700C475188FE09C97AE0EEBC_12</vt:lpwstr>
  </property>
</Properties>
</file>